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ind w:firstLine="640" w:firstLineChars="200"/>
        <w:rPr>
          <w:rFonts w:hint="eastAsia" w:ascii="方正小标宋简体" w:eastAsia="方正小标宋简体"/>
          <w:color w:val="000000" w:themeColor="text1"/>
          <w:szCs w:val="36"/>
          <w14:textFill>
            <w14:solidFill>
              <w14:schemeClr w14:val="tx1"/>
            </w14:solidFill>
          </w14:textFill>
        </w:rPr>
      </w:pPr>
      <w:r>
        <w:rPr>
          <w:b w:val="0"/>
          <w:bCs/>
          <w:color w:val="000000" w:themeColor="text1"/>
          <w14:textFill>
            <w14:solidFill>
              <w14:schemeClr w14:val="tx1"/>
            </w14:solidFill>
          </w14:textFill>
        </w:rPr>
        <w:t>IE</w:t>
      </w:r>
      <w:r>
        <w:rPr>
          <w:rFonts w:hint="eastAsia"/>
          <w:b w:val="0"/>
          <w:bCs/>
          <w:color w:val="000000" w:themeColor="text1"/>
          <w:lang w:val="en-US" w:eastAsia="zh-CN"/>
          <w14:textFill>
            <w14:solidFill>
              <w14:schemeClr w14:val="tx1"/>
            </w14:solidFill>
          </w14:textFill>
        </w:rPr>
        <w:t>iE</w:t>
      </w:r>
      <w:r>
        <w:rPr>
          <w:b w:val="0"/>
          <w:bCs/>
          <w:color w:val="000000" w:themeColor="text1"/>
          <w:lang w:val="en-US" w:eastAsia="zh-CN"/>
          <w14:textFill>
            <w14:solidFill>
              <w14:schemeClr w14:val="tx1"/>
            </w14:solidFill>
          </w14:textFill>
        </w:rPr>
        <w:t>2023南昌国际应急产业博览会暨应急产业发展论坛</w:t>
      </w:r>
    </w:p>
    <w:p>
      <w:pPr>
        <w:pStyle w:val="3"/>
        <w:bidi w:val="0"/>
        <w:ind w:firstLine="2560" w:firstLineChars="800"/>
        <w:rPr>
          <w:rFonts w:hint="eastAsia" w:ascii="宋体" w:hAnsi="宋体" w:eastAsia="宋体" w:cs="Times New Roman"/>
          <w:color w:val="000000" w:themeColor="text1"/>
          <w:sz w:val="24"/>
          <w:szCs w:val="28"/>
          <w14:textFill>
            <w14:solidFill>
              <w14:schemeClr w14:val="tx1"/>
            </w14:solidFill>
          </w14:textFill>
        </w:rPr>
      </w:pPr>
      <w:r>
        <w:rPr>
          <w:rFonts w:hint="eastAsia"/>
          <w:b w:val="0"/>
          <w:bCs/>
          <w:color w:val="000000" w:themeColor="text1"/>
          <w:lang w:eastAsia="zh-CN"/>
          <w14:textFill>
            <w14:solidFill>
              <w14:schemeClr w14:val="tx1"/>
            </w14:solidFill>
          </w14:textFill>
        </w:rPr>
        <w:t>（暨</w:t>
      </w:r>
      <w:r>
        <w:rPr>
          <w:rFonts w:hint="eastAsia"/>
          <w:b w:val="0"/>
          <w:bCs/>
          <w:color w:val="000000" w:themeColor="text1"/>
          <w:lang w:val="en-US" w:eastAsia="zh-CN"/>
          <w14:textFill>
            <w14:solidFill>
              <w14:schemeClr w14:val="tx1"/>
            </w14:solidFill>
          </w14:textFill>
        </w:rPr>
        <w:t>2023南昌国际消防展</w:t>
      </w:r>
      <w:r>
        <w:rPr>
          <w:rFonts w:hint="eastAsia"/>
          <w:b w:val="0"/>
          <w:bCs/>
          <w:color w:val="000000" w:themeColor="text1"/>
          <w:lang w:eastAsia="zh-CN"/>
          <w14:textFill>
            <w14:solidFill>
              <w14:schemeClr w14:val="tx1"/>
            </w14:solidFill>
          </w14:textFill>
        </w:rPr>
        <w:t>）</w:t>
      </w:r>
    </w:p>
    <w:p>
      <w:pPr>
        <w:ind w:firstLine="2160" w:firstLineChars="900"/>
        <w:jc w:val="both"/>
        <w:rPr>
          <w:rFonts w:hint="eastAsia"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南昌绿地国际博览中心</w:t>
      </w:r>
      <w:r>
        <w:rPr>
          <w:rFonts w:hint="eastAsia" w:ascii="宋体" w:hAnsi="宋体" w:eastAsia="宋体" w:cs="Times New Roman"/>
          <w:color w:val="000000" w:themeColor="text1"/>
          <w:sz w:val="24"/>
          <w:szCs w:val="28"/>
          <w:lang w:val="en-US" w:eastAsia="zh-CN"/>
          <w14:textFill>
            <w14:solidFill>
              <w14:schemeClr w14:val="tx1"/>
            </w14:solidFill>
          </w14:textFill>
        </w:rPr>
        <w:t xml:space="preserve">  </w:t>
      </w:r>
      <w:r>
        <w:rPr>
          <w:rFonts w:ascii="宋体" w:hAnsi="宋体" w:eastAsia="宋体" w:cs="Times New Roman"/>
          <w:color w:val="000000" w:themeColor="text1"/>
          <w:sz w:val="24"/>
          <w:szCs w:val="28"/>
          <w14:textFill>
            <w14:solidFill>
              <w14:schemeClr w14:val="tx1"/>
            </w14:solidFill>
          </w14:textFill>
        </w:rPr>
        <w:t>2023</w:t>
      </w:r>
      <w:r>
        <w:rPr>
          <w:rFonts w:hint="eastAsia" w:ascii="宋体" w:hAnsi="宋体" w:eastAsia="宋体" w:cs="Times New Roman"/>
          <w:color w:val="000000" w:themeColor="text1"/>
          <w:sz w:val="24"/>
          <w:szCs w:val="28"/>
          <w14:textFill>
            <w14:solidFill>
              <w14:schemeClr w14:val="tx1"/>
            </w14:solidFill>
          </w14:textFill>
        </w:rPr>
        <w:t>年</w:t>
      </w:r>
      <w:r>
        <w:rPr>
          <w:rFonts w:ascii="宋体" w:hAnsi="宋体" w:eastAsia="宋体" w:cs="Times New Roman"/>
          <w:color w:val="000000" w:themeColor="text1"/>
          <w:sz w:val="24"/>
          <w:szCs w:val="28"/>
          <w14:textFill>
            <w14:solidFill>
              <w14:schemeClr w14:val="tx1"/>
            </w14:solidFill>
          </w14:textFill>
        </w:rPr>
        <w:t>11</w:t>
      </w:r>
      <w:r>
        <w:rPr>
          <w:rFonts w:hint="eastAsia" w:ascii="宋体" w:hAnsi="宋体" w:eastAsia="宋体" w:cs="Times New Roman"/>
          <w:color w:val="000000" w:themeColor="text1"/>
          <w:sz w:val="24"/>
          <w:szCs w:val="28"/>
          <w14:textFill>
            <w14:solidFill>
              <w14:schemeClr w14:val="tx1"/>
            </w14:solidFill>
          </w14:textFill>
        </w:rPr>
        <w:t>月</w:t>
      </w:r>
      <w:r>
        <w:rPr>
          <w:rFonts w:ascii="宋体" w:hAnsi="宋体" w:eastAsia="宋体" w:cs="Times New Roman"/>
          <w:color w:val="000000" w:themeColor="text1"/>
          <w:sz w:val="24"/>
          <w:szCs w:val="28"/>
          <w14:textFill>
            <w14:solidFill>
              <w14:schemeClr w14:val="tx1"/>
            </w14:solidFill>
          </w14:textFill>
        </w:rPr>
        <w:t>09-11</w:t>
      </w:r>
      <w:r>
        <w:rPr>
          <w:rFonts w:hint="eastAsia" w:ascii="宋体" w:hAnsi="宋体" w:eastAsia="宋体" w:cs="Times New Roman"/>
          <w:color w:val="000000" w:themeColor="text1"/>
          <w:sz w:val="24"/>
          <w:szCs w:val="28"/>
          <w14:textFill>
            <w14:solidFill>
              <w14:schemeClr w14:val="tx1"/>
            </w14:solidFill>
          </w14:textFill>
        </w:rPr>
        <w:t>日</w:t>
      </w:r>
    </w:p>
    <w:p>
      <w:pPr>
        <w:jc w:val="both"/>
        <w:rPr>
          <w:rFonts w:hint="eastAsia" w:ascii="宋体" w:hAnsi="宋体" w:eastAsia="宋体" w:cs="Times New Roman"/>
          <w:color w:val="000000" w:themeColor="text1"/>
          <w:sz w:val="24"/>
          <w:szCs w:val="28"/>
          <w:lang w:eastAsia="zh-CN"/>
          <w14:textFill>
            <w14:solidFill>
              <w14:schemeClr w14:val="tx1"/>
            </w14:solidFill>
          </w14:textFill>
        </w:rPr>
      </w:pPr>
      <w:r>
        <w:rPr>
          <w:rFonts w:hint="eastAsia" w:ascii="宋体" w:hAnsi="宋体" w:eastAsia="宋体" w:cs="Times New Roman"/>
          <w:color w:val="000000" w:themeColor="text1"/>
          <w:sz w:val="24"/>
          <w:szCs w:val="28"/>
          <w:lang w:eastAsia="zh-CN"/>
          <w14:textFill>
            <w14:solidFill>
              <w14:schemeClr w14:val="tx1"/>
            </w14:solidFill>
          </w14:textFill>
        </w:rPr>
        <w:drawing>
          <wp:inline distT="0" distB="0" distL="114300" distR="114300">
            <wp:extent cx="5782945" cy="7892415"/>
            <wp:effectExtent l="0" t="0" r="8255" b="13335"/>
            <wp:docPr id="4" name="图片 4"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2)"/>
                    <pic:cNvPicPr>
                      <a:picLocks noChangeAspect="1"/>
                    </pic:cNvPicPr>
                  </pic:nvPicPr>
                  <pic:blipFill>
                    <a:blip r:embed="rId4"/>
                    <a:stretch>
                      <a:fillRect/>
                    </a:stretch>
                  </pic:blipFill>
                  <pic:spPr>
                    <a:xfrm>
                      <a:off x="0" y="0"/>
                      <a:ext cx="5782945" cy="7892415"/>
                    </a:xfrm>
                    <a:prstGeom prst="rect">
                      <a:avLst/>
                    </a:prstGeom>
                  </pic:spPr>
                </pic:pic>
              </a:graphicData>
            </a:graphic>
          </wp:inline>
        </w:drawing>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b/>
          <w:bCs/>
          <w:color w:val="000000" w:themeColor="text1"/>
          <w:sz w:val="28"/>
          <w:szCs w:val="32"/>
          <w14:textFill>
            <w14:solidFill>
              <w14:schemeClr w14:val="tx1"/>
            </w14:solidFill>
          </w14:textFill>
        </w:rPr>
        <w:t>主办单位</w:t>
      </w:r>
      <w:bookmarkStart w:id="0" w:name="_Hlk113010694"/>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南昌市人民政府</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江西省应急管理厅</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江西省工业和信息化厅</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江西省住房和城乡建设厅</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江西广播电视台</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江西广电传媒集团</w:t>
      </w:r>
    </w:p>
    <w:p>
      <w:pPr>
        <w:rPr>
          <w:rFonts w:hint="eastAsia" w:ascii="宋体" w:hAnsi="宋体" w:eastAsia="宋体" w:cs="Times New Roman"/>
          <w:color w:val="000000" w:themeColor="text1"/>
          <w:sz w:val="24"/>
          <w:szCs w:val="28"/>
          <w14:textFill>
            <w14:solidFill>
              <w14:schemeClr w14:val="tx1"/>
            </w14:solidFill>
          </w14:textFill>
        </w:rPr>
      </w:pPr>
    </w:p>
    <w:bookmarkEnd w:id="0"/>
    <w:p>
      <w:pPr>
        <w:rPr>
          <w:rFonts w:ascii="宋体" w:hAnsi="宋体" w:eastAsia="宋体" w:cs="Times New Roman"/>
          <w:b/>
          <w:bCs/>
          <w:color w:val="000000" w:themeColor="text1"/>
          <w:sz w:val="28"/>
          <w:szCs w:val="32"/>
          <w14:textFill>
            <w14:solidFill>
              <w14:schemeClr w14:val="tx1"/>
            </w14:solidFill>
          </w14:textFill>
        </w:rPr>
      </w:pPr>
      <w:r>
        <w:rPr>
          <w:rFonts w:hint="eastAsia" w:ascii="宋体" w:hAnsi="宋体" w:eastAsia="宋体" w:cs="Times New Roman"/>
          <w:b/>
          <w:bCs/>
          <w:color w:val="000000" w:themeColor="text1"/>
          <w:sz w:val="28"/>
          <w:szCs w:val="32"/>
          <w14:textFill>
            <w14:solidFill>
              <w14:schemeClr w14:val="tx1"/>
            </w14:solidFill>
          </w14:textFill>
        </w:rPr>
        <w:t>协办单位</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江西省应急管理科学研究院</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江西省应急管理学会</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广东省应急产业协会</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广东省应急协会</w:t>
      </w:r>
    </w:p>
    <w:p>
      <w:pPr>
        <w:rPr>
          <w:rFonts w:ascii="宋体" w:hAnsi="宋体" w:eastAsia="宋体" w:cs="Times New Roman"/>
          <w:color w:val="000000" w:themeColor="text1"/>
          <w:sz w:val="24"/>
          <w:szCs w:val="28"/>
          <w14:textFill>
            <w14:solidFill>
              <w14:schemeClr w14:val="tx1"/>
            </w14:solidFill>
          </w14:textFill>
        </w:rPr>
      </w:pPr>
    </w:p>
    <w:p>
      <w:pPr>
        <w:rPr>
          <w:rFonts w:ascii="宋体" w:hAnsi="宋体" w:eastAsia="宋体" w:cs="Times New Roman"/>
          <w:b/>
          <w:bCs/>
          <w:color w:val="000000" w:themeColor="text1"/>
          <w:sz w:val="28"/>
          <w:szCs w:val="32"/>
          <w14:textFill>
            <w14:solidFill>
              <w14:schemeClr w14:val="tx1"/>
            </w14:solidFill>
          </w14:textFill>
        </w:rPr>
      </w:pPr>
      <w:r>
        <w:rPr>
          <w:rFonts w:hint="eastAsia" w:ascii="宋体" w:hAnsi="宋体" w:eastAsia="宋体" w:cs="Times New Roman"/>
          <w:b/>
          <w:bCs/>
          <w:color w:val="000000" w:themeColor="text1"/>
          <w:sz w:val="28"/>
          <w:szCs w:val="32"/>
          <w14:textFill>
            <w14:solidFill>
              <w14:schemeClr w14:val="tx1"/>
            </w14:solidFill>
          </w14:textFill>
        </w:rPr>
        <w:t>承办单位</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江西广电会展集团有限责任公司</w:t>
      </w: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广州国坤立升展览有限公司</w:t>
      </w:r>
    </w:p>
    <w:p>
      <w:pPr>
        <w:rPr>
          <w:rFonts w:ascii="宋体" w:hAnsi="宋体" w:eastAsia="宋体" w:cs="Times New Roman"/>
          <w:color w:val="000000" w:themeColor="text1"/>
          <w:sz w:val="24"/>
          <w:szCs w:val="28"/>
          <w14:textFill>
            <w14:solidFill>
              <w14:schemeClr w14:val="tx1"/>
            </w14:solidFill>
          </w14:textFill>
        </w:rPr>
      </w:pPr>
    </w:p>
    <w:p>
      <w:pPr>
        <w:rPr>
          <w:rFonts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b/>
          <w:bCs/>
          <w:color w:val="000000" w:themeColor="text1"/>
          <w:sz w:val="28"/>
          <w:szCs w:val="32"/>
          <w14:textFill>
            <w14:solidFill>
              <w14:schemeClr w14:val="tx1"/>
            </w14:solidFill>
          </w14:textFill>
        </w:rPr>
        <w:t>执行单位</w:t>
      </w:r>
    </w:p>
    <w:p>
      <w:pPr>
        <w:rPr>
          <w:rFonts w:hint="eastAsia" w:ascii="宋体" w:hAnsi="宋体" w:eastAsia="宋体" w:cs="Times New Roman"/>
          <w:color w:val="000000" w:themeColor="text1"/>
          <w:sz w:val="24"/>
          <w:szCs w:val="28"/>
          <w14:textFill>
            <w14:solidFill>
              <w14:schemeClr w14:val="tx1"/>
            </w14:solidFill>
          </w14:textFill>
        </w:rPr>
      </w:pPr>
      <w:r>
        <w:rPr>
          <w:rFonts w:hint="eastAsia" w:ascii="宋体" w:hAnsi="宋体" w:eastAsia="宋体" w:cs="Times New Roman"/>
          <w:color w:val="000000" w:themeColor="text1"/>
          <w:sz w:val="24"/>
          <w:szCs w:val="28"/>
          <w14:textFill>
            <w14:solidFill>
              <w14:schemeClr w14:val="tx1"/>
            </w14:solidFill>
          </w14:textFill>
        </w:rPr>
        <w:t>江西阿尔法加会展服务有限责任公司</w:t>
      </w:r>
    </w:p>
    <w:p>
      <w:pPr>
        <w:rPr>
          <w:rFonts w:hint="eastAsia" w:ascii="宋体" w:hAnsi="宋体" w:eastAsia="宋体" w:cs="Times New Roman"/>
          <w:color w:val="000000" w:themeColor="text1"/>
          <w:sz w:val="24"/>
          <w:szCs w:val="28"/>
          <w:lang w:eastAsia="zh-CN"/>
          <w14:textFill>
            <w14:solidFill>
              <w14:schemeClr w14:val="tx1"/>
            </w14:solidFill>
          </w14:textFill>
        </w:rPr>
      </w:pPr>
      <w:r>
        <w:rPr>
          <w:rFonts w:hint="eastAsia" w:ascii="宋体" w:hAnsi="宋体" w:eastAsia="宋体" w:cs="Times New Roman"/>
          <w:color w:val="000000" w:themeColor="text1"/>
          <w:sz w:val="24"/>
          <w:szCs w:val="28"/>
          <w:lang w:eastAsia="zh-CN"/>
          <w14:textFill>
            <w14:solidFill>
              <w14:schemeClr w14:val="tx1"/>
            </w14:solidFill>
          </w14:textFill>
        </w:rPr>
        <w:drawing>
          <wp:inline distT="0" distB="0" distL="114300" distR="114300">
            <wp:extent cx="5754370" cy="2877185"/>
            <wp:effectExtent l="0" t="0" r="17780" b="1841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754370" cy="2877185"/>
                    </a:xfrm>
                    <a:prstGeom prst="rect">
                      <a:avLst/>
                    </a:prstGeom>
                  </pic:spPr>
                </pic:pic>
              </a:graphicData>
            </a:graphic>
          </wp:inline>
        </w:drawing>
      </w:r>
    </w:p>
    <w:p>
      <w:pPr>
        <w:rPr>
          <w:rFonts w:ascii="宋体" w:hAnsi="宋体" w:eastAsia="宋体" w:cs="Times New Roman"/>
          <w:color w:val="000000" w:themeColor="text1"/>
          <w:sz w:val="24"/>
          <w:szCs w:val="28"/>
          <w14:textFill>
            <w14:solidFill>
              <w14:schemeClr w14:val="tx1"/>
            </w14:solidFill>
          </w14:textFill>
        </w:rPr>
      </w:pPr>
    </w:p>
    <w:p>
      <w:pPr>
        <w:rPr>
          <w:rFonts w:hint="eastAsia" w:ascii="宋体" w:hAnsi="宋体" w:eastAsia="宋体" w:cs="Times New Roman"/>
          <w:color w:val="000000" w:themeColor="text1"/>
          <w:sz w:val="24"/>
          <w:szCs w:val="28"/>
          <w14:textFill>
            <w14:solidFill>
              <w14:schemeClr w14:val="tx1"/>
            </w14:solidFill>
          </w14:textFill>
        </w:rPr>
      </w:pPr>
    </w:p>
    <w:p>
      <w:pPr>
        <w:widowControl/>
        <w:ind w:firstLine="3000" w:firstLineChars="1000"/>
        <w:jc w:val="left"/>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智慧融合</w:t>
      </w:r>
      <w:r>
        <w:rPr>
          <w:rFonts w:ascii="黑体" w:hAnsi="黑体" w:eastAsia="黑体"/>
          <w:color w:val="000000" w:themeColor="text1"/>
          <w:sz w:val="30"/>
          <w:szCs w:val="30"/>
          <w14:textFill>
            <w14:solidFill>
              <w14:schemeClr w14:val="tx1"/>
            </w14:solidFill>
          </w14:textFill>
        </w:rPr>
        <w:t xml:space="preserve"> 应急创新</w:t>
      </w:r>
    </w:p>
    <w:p>
      <w:pPr>
        <w:keepNext w:val="0"/>
        <w:keepLines w:val="0"/>
        <w:widowControl/>
        <w:suppressLineNumbers w:val="0"/>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bookmarkStart w:id="1" w:name="_GoBack"/>
      <w:r>
        <w:rPr>
          <w:rFonts w:hint="eastAsia" w:ascii="宋体" w:hAnsi="宋体" w:eastAsia="宋体" w:cs="宋体"/>
          <w:color w:val="000000" w:themeColor="text1"/>
          <w:kern w:val="0"/>
          <w:sz w:val="24"/>
          <w:szCs w:val="24"/>
          <w:lang w:val="en-US" w:eastAsia="zh-CN" w:bidi="ar"/>
          <w14:textFill>
            <w14:solidFill>
              <w14:schemeClr w14:val="tx1"/>
            </w14:solidFill>
          </w14:textFill>
        </w:rPr>
        <w:t>2023南昌国际应急产业博览会（2023南昌国际消防展）暨应急产业发展论坛</w:t>
      </w:r>
      <w:bookmarkEnd w:id="1"/>
      <w:r>
        <w:rPr>
          <w:rFonts w:hint="eastAsia" w:ascii="宋体" w:hAnsi="宋体" w:eastAsia="宋体" w:cs="宋体"/>
          <w:color w:val="000000" w:themeColor="text1"/>
          <w:kern w:val="0"/>
          <w:sz w:val="24"/>
          <w:szCs w:val="24"/>
          <w:lang w:val="en-US" w:eastAsia="zh-CN" w:bidi="ar"/>
          <w14:textFill>
            <w14:solidFill>
              <w14:schemeClr w14:val="tx1"/>
            </w14:solidFill>
          </w14:textFill>
        </w:rPr>
        <w:t>” 将于2023 年 11 月 09-11 日在江西南昌绿地国际博览中心举办。展会共设十大专业展区，展品范围广泛，包括多用途应急救援 直升机、智能无人机等。展览还将举办多场应急安全论坛，还将有社会救援力量技能表演和安全宣传主题文化节目等系列活动。届时，来自全国各地的政府领导、专家学者、知名企业家和行业组织代表将齐聚一堂，共筑产业发展之基 ，同担防灾减灾之责。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展示面积30000 m</w:t>
      </w:r>
      <w:r>
        <w:rPr>
          <w:rFonts w:hint="eastAsia" w:ascii="宋体" w:hAnsi="宋体" w:eastAsia="宋体" w:cs="宋体"/>
          <w:b/>
          <w:bCs/>
          <w:color w:val="auto"/>
          <w:kern w:val="0"/>
          <w:sz w:val="28"/>
          <w:szCs w:val="28"/>
          <w:vertAlign w:val="superscript"/>
          <w:lang w:val="en-US" w:eastAsia="zh-CN" w:bidi="ar"/>
        </w:rPr>
        <w:t xml:space="preserve">2         </w:t>
      </w:r>
      <w:r>
        <w:rPr>
          <w:rFonts w:hint="eastAsia" w:ascii="宋体" w:hAnsi="宋体" w:eastAsia="宋体" w:cs="宋体"/>
          <w:b/>
          <w:bCs/>
          <w:color w:val="auto"/>
          <w:kern w:val="0"/>
          <w:sz w:val="28"/>
          <w:szCs w:val="28"/>
          <w:lang w:val="en-US" w:eastAsia="zh-CN" w:bidi="ar"/>
        </w:rPr>
        <w:t>参展单位400+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专业观众40000+      国际及地区30+</w:t>
      </w:r>
    </w:p>
    <w:p>
      <w:pPr>
        <w:rPr>
          <w:rFonts w:hint="eastAsia" w:ascii="宋体" w:hAnsi="宋体" w:eastAsia="宋体" w:cs="宋体"/>
          <w:color w:val="000000" w:themeColor="text1"/>
          <w:sz w:val="21"/>
          <w:szCs w:val="21"/>
          <w14:textFill>
            <w14:solidFill>
              <w14:schemeClr w14:val="tx1"/>
            </w14:solidFill>
          </w14:textFill>
        </w:rPr>
      </w:pPr>
    </w:p>
    <w:p>
      <w:pPr>
        <w:jc w:val="left"/>
        <w:rPr>
          <w:rFonts w:ascii="宋体" w:hAnsi="宋体" w:eastAsia="宋体" w:cs="Times New Roman"/>
          <w:b/>
          <w:bCs/>
          <w:color w:val="000000" w:themeColor="text1"/>
          <w:sz w:val="28"/>
          <w:szCs w:val="28"/>
          <w14:textFill>
            <w14:solidFill>
              <w14:schemeClr w14:val="tx1"/>
            </w14:solidFill>
          </w14:textFill>
        </w:rPr>
      </w:pPr>
      <w:r>
        <w:rPr>
          <w:rFonts w:hint="eastAsia" w:ascii="宋体" w:hAnsi="宋体" w:eastAsia="宋体" w:cs="Times New Roman"/>
          <w:b/>
          <w:bCs/>
          <w:color w:val="000000" w:themeColor="text1"/>
          <w:sz w:val="28"/>
          <w:szCs w:val="28"/>
          <w:lang w:eastAsia="zh-CN"/>
          <w14:textFill>
            <w14:solidFill>
              <w14:schemeClr w14:val="tx1"/>
            </w14:solidFill>
          </w14:textFill>
        </w:rPr>
        <w:t>一、</w:t>
      </w:r>
      <w:r>
        <w:rPr>
          <w:rFonts w:hint="eastAsia" w:ascii="宋体" w:hAnsi="宋体" w:eastAsia="宋体" w:cs="Times New Roman"/>
          <w:b/>
          <w:bCs/>
          <w:color w:val="000000" w:themeColor="text1"/>
          <w:sz w:val="28"/>
          <w:szCs w:val="28"/>
          <w14:textFill>
            <w14:solidFill>
              <w14:schemeClr w14:val="tx1"/>
            </w14:solidFill>
          </w14:textFill>
        </w:rPr>
        <w:t>探讨创新 共谋发展</w:t>
      </w:r>
    </w:p>
    <w:p>
      <w:pPr>
        <w:ind w:firstLine="480" w:firstLineChars="200"/>
        <w:jc w:val="left"/>
        <w:rPr>
          <w:rFonts w:hint="eastAsia"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新形势新格局产业首要战略方向</w:t>
      </w:r>
      <w:r>
        <w:rPr>
          <w:rFonts w:hint="eastAsia" w:ascii="宋体" w:hAnsi="宋体" w:eastAsia="宋体" w:cs="Times New Roman"/>
          <w:color w:val="000000" w:themeColor="text1"/>
          <w:sz w:val="24"/>
          <w:szCs w:val="24"/>
          <w:lang w:val="en-US" w:eastAsia="zh-CN"/>
          <w14:textFill>
            <w14:solidFill>
              <w14:schemeClr w14:val="tx1"/>
            </w14:solidFill>
          </w14:textFill>
        </w:rPr>
        <w:t xml:space="preserve"> </w:t>
      </w:r>
    </w:p>
    <w:p>
      <w:pPr>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高峰论坛聚焦应急企业创新发展</w:t>
      </w:r>
    </w:p>
    <w:p>
      <w:pPr>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多元化资源配置助产业融合发展</w:t>
      </w:r>
    </w:p>
    <w:p>
      <w:pPr>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构建核心供应链体系的关键路径</w:t>
      </w:r>
    </w:p>
    <w:p>
      <w:pPr>
        <w:ind w:firstLine="480" w:firstLineChars="200"/>
        <w:jc w:val="left"/>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政府主导招商引资赋能智慧城市</w:t>
      </w:r>
    </w:p>
    <w:p>
      <w:pPr>
        <w:jc w:val="left"/>
        <w:rPr>
          <w:rFonts w:hint="eastAsia" w:ascii="宋体" w:hAnsi="宋体" w:eastAsia="宋体" w:cs="Times New Roman"/>
          <w:color w:val="000000" w:themeColor="text1"/>
          <w:sz w:val="24"/>
          <w:szCs w:val="24"/>
          <w:lang w:eastAsia="zh-CN"/>
          <w14:textFill>
            <w14:solidFill>
              <w14:schemeClr w14:val="tx1"/>
            </w14:solidFill>
          </w14:textFill>
        </w:rPr>
      </w:pPr>
      <w:r>
        <w:rPr>
          <w:rFonts w:hint="eastAsia" w:ascii="宋体" w:hAnsi="宋体" w:eastAsia="宋体" w:cs="Times New Roman"/>
          <w:color w:val="000000" w:themeColor="text1"/>
          <w:sz w:val="24"/>
          <w:szCs w:val="24"/>
          <w:lang w:eastAsia="zh-CN"/>
          <w14:textFill>
            <w14:solidFill>
              <w14:schemeClr w14:val="tx1"/>
            </w14:solidFill>
          </w14:textFill>
        </w:rPr>
        <w:drawing>
          <wp:inline distT="0" distB="0" distL="114300" distR="114300">
            <wp:extent cx="2762250" cy="1857375"/>
            <wp:effectExtent l="0" t="0" r="0" b="952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6"/>
                    <a:stretch>
                      <a:fillRect/>
                    </a:stretch>
                  </pic:blipFill>
                  <pic:spPr>
                    <a:xfrm>
                      <a:off x="0" y="0"/>
                      <a:ext cx="2762250" cy="1857375"/>
                    </a:xfrm>
                    <a:prstGeom prst="rect">
                      <a:avLst/>
                    </a:prstGeom>
                  </pic:spPr>
                </pic:pic>
              </a:graphicData>
            </a:graphic>
          </wp:inline>
        </w:drawing>
      </w:r>
      <w:r>
        <w:rPr>
          <w:rFonts w:hint="eastAsia" w:ascii="宋体" w:hAnsi="宋体" w:eastAsia="宋体" w:cs="Times New Roman"/>
          <w:color w:val="000000" w:themeColor="text1"/>
          <w:sz w:val="24"/>
          <w:szCs w:val="24"/>
          <w:lang w:eastAsia="zh-CN"/>
          <w14:textFill>
            <w14:solidFill>
              <w14:schemeClr w14:val="tx1"/>
            </w14:solidFill>
          </w14:textFill>
        </w:rPr>
        <w:drawing>
          <wp:inline distT="0" distB="0" distL="114300" distR="114300">
            <wp:extent cx="2762250" cy="1857375"/>
            <wp:effectExtent l="0" t="0" r="0" b="9525"/>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7"/>
                    <a:stretch>
                      <a:fillRect/>
                    </a:stretch>
                  </pic:blipFill>
                  <pic:spPr>
                    <a:xfrm>
                      <a:off x="0" y="0"/>
                      <a:ext cx="2762250" cy="1857375"/>
                    </a:xfrm>
                    <a:prstGeom prst="rect">
                      <a:avLst/>
                    </a:prstGeom>
                  </pic:spPr>
                </pic:pic>
              </a:graphicData>
            </a:graphic>
          </wp:inline>
        </w:drawing>
      </w:r>
    </w:p>
    <w:p>
      <w:pPr>
        <w:jc w:val="left"/>
        <w:rPr>
          <w:rFonts w:hint="eastAsia" w:ascii="宋体" w:hAnsi="宋体" w:eastAsia="宋体" w:cs="Times New Roman"/>
          <w:color w:val="000000" w:themeColor="text1"/>
          <w:sz w:val="24"/>
          <w:szCs w:val="24"/>
          <w:lang w:eastAsia="zh-CN"/>
          <w14:textFill>
            <w14:solidFill>
              <w14:schemeClr w14:val="tx1"/>
            </w14:solidFill>
          </w14:textFill>
        </w:rPr>
      </w:pPr>
      <w:r>
        <w:rPr>
          <w:rFonts w:hint="eastAsia" w:ascii="宋体" w:hAnsi="宋体" w:eastAsia="宋体" w:cs="Times New Roman"/>
          <w:color w:val="000000" w:themeColor="text1"/>
          <w:sz w:val="24"/>
          <w:szCs w:val="24"/>
          <w:lang w:eastAsia="zh-CN"/>
          <w14:textFill>
            <w14:solidFill>
              <w14:schemeClr w14:val="tx1"/>
            </w14:solidFill>
          </w14:textFill>
        </w:rPr>
        <w:drawing>
          <wp:inline distT="0" distB="0" distL="114300" distR="114300">
            <wp:extent cx="2762250" cy="1857375"/>
            <wp:effectExtent l="0" t="0" r="0" b="9525"/>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8"/>
                    <a:stretch>
                      <a:fillRect/>
                    </a:stretch>
                  </pic:blipFill>
                  <pic:spPr>
                    <a:xfrm>
                      <a:off x="0" y="0"/>
                      <a:ext cx="2762250" cy="1857375"/>
                    </a:xfrm>
                    <a:prstGeom prst="rect">
                      <a:avLst/>
                    </a:prstGeom>
                  </pic:spPr>
                </pic:pic>
              </a:graphicData>
            </a:graphic>
          </wp:inline>
        </w:drawing>
      </w:r>
      <w:r>
        <w:rPr>
          <w:rFonts w:hint="eastAsia" w:ascii="宋体" w:hAnsi="宋体" w:eastAsia="宋体" w:cs="Times New Roman"/>
          <w:color w:val="000000" w:themeColor="text1"/>
          <w:sz w:val="24"/>
          <w:szCs w:val="24"/>
          <w:lang w:eastAsia="zh-CN"/>
          <w14:textFill>
            <w14:solidFill>
              <w14:schemeClr w14:val="tx1"/>
            </w14:solidFill>
          </w14:textFill>
        </w:rPr>
        <w:drawing>
          <wp:inline distT="0" distB="0" distL="114300" distR="114300">
            <wp:extent cx="2762250" cy="1847850"/>
            <wp:effectExtent l="0" t="0" r="0" b="0"/>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9"/>
                    <a:stretch>
                      <a:fillRect/>
                    </a:stretch>
                  </pic:blipFill>
                  <pic:spPr>
                    <a:xfrm>
                      <a:off x="0" y="0"/>
                      <a:ext cx="2762250" cy="1847850"/>
                    </a:xfrm>
                    <a:prstGeom prst="rect">
                      <a:avLst/>
                    </a:prstGeom>
                  </pic:spPr>
                </pic:pic>
              </a:graphicData>
            </a:graphic>
          </wp:inline>
        </w:drawing>
      </w:r>
    </w:p>
    <w:p>
      <w:pPr>
        <w:jc w:val="left"/>
        <w:rPr>
          <w:rFonts w:ascii="宋体" w:hAnsi="宋体" w:eastAsia="宋体" w:cs="Times New Roman"/>
          <w:b/>
          <w:bCs/>
          <w:color w:val="000000" w:themeColor="text1"/>
          <w:sz w:val="28"/>
          <w:szCs w:val="28"/>
          <w14:textFill>
            <w14:solidFill>
              <w14:schemeClr w14:val="tx1"/>
            </w14:solidFill>
          </w14:textFill>
        </w:rPr>
      </w:pPr>
      <w:r>
        <w:rPr>
          <w:rFonts w:hint="eastAsia" w:ascii="宋体" w:hAnsi="宋体" w:eastAsia="宋体" w:cs="Times New Roman"/>
          <w:b/>
          <w:bCs/>
          <w:color w:val="000000" w:themeColor="text1"/>
          <w:sz w:val="28"/>
          <w:szCs w:val="28"/>
          <w:lang w:eastAsia="zh-CN"/>
          <w14:textFill>
            <w14:solidFill>
              <w14:schemeClr w14:val="tx1"/>
            </w14:solidFill>
          </w14:textFill>
        </w:rPr>
        <w:t>二、</w:t>
      </w:r>
      <w:r>
        <w:rPr>
          <w:rFonts w:hint="eastAsia" w:ascii="宋体" w:hAnsi="宋体" w:eastAsia="宋体" w:cs="Times New Roman"/>
          <w:b/>
          <w:bCs/>
          <w:color w:val="000000" w:themeColor="text1"/>
          <w:sz w:val="28"/>
          <w:szCs w:val="28"/>
          <w14:textFill>
            <w14:solidFill>
              <w14:schemeClr w14:val="tx1"/>
            </w14:solidFill>
          </w14:textFill>
        </w:rPr>
        <w:t>江西应急产业发展机遇优势</w:t>
      </w:r>
    </w:p>
    <w:p>
      <w:pPr>
        <w:widowControl/>
        <w:ind w:firstLine="281" w:firstLineChars="100"/>
        <w:jc w:val="left"/>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1、</w:t>
      </w:r>
      <w:r>
        <w:rPr>
          <w:rFonts w:hint="eastAsia" w:ascii="宋体" w:hAnsi="宋体" w:eastAsia="宋体"/>
          <w:b/>
          <w:bCs/>
          <w:color w:val="000000" w:themeColor="text1"/>
          <w:sz w:val="28"/>
          <w:szCs w:val="32"/>
          <w14:textFill>
            <w14:solidFill>
              <w14:schemeClr w14:val="tx1"/>
            </w14:solidFill>
          </w14:textFill>
        </w:rPr>
        <w:t>外部市场环境</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党中央的指示，我们高度重视安全生产和应急管理工作。安全发展和应急管理是推进国家治理体系和治理能力现代化的重要内容。发展安全(应急)产业对于落实安全发展理念、提升全社会安全保障能力和本质安全水平、推动经济高质量发展、培育新的经济增长点非常重要.</w:t>
      </w:r>
    </w:p>
    <w:p>
      <w:pPr>
        <w:widowControl/>
        <w:ind w:firstLine="281" w:firstLineChars="100"/>
        <w:jc w:val="left"/>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2、</w:t>
      </w:r>
      <w:r>
        <w:rPr>
          <w:rFonts w:hint="eastAsia" w:ascii="宋体" w:hAnsi="宋体" w:eastAsia="宋体"/>
          <w:b/>
          <w:bCs/>
          <w:color w:val="000000" w:themeColor="text1"/>
          <w:sz w:val="28"/>
          <w:szCs w:val="32"/>
          <w14:textFill>
            <w14:solidFill>
              <w14:schemeClr w14:val="tx1"/>
            </w14:solidFill>
          </w14:textFill>
        </w:rPr>
        <w:t>内部市场环境</w:t>
      </w:r>
    </w:p>
    <w:p>
      <w:pPr>
        <w:keepNext w:val="0"/>
        <w:keepLines w:val="0"/>
        <w:widowControl/>
        <w:suppressLineNumbers w:val="0"/>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目前江西省正在深入实施“产业耦合、资源整合、交通融合”的互利共赢战略，加强与长三角、泛珠三角区域内各方的全面合作，努力提高城市发展力，实现区域经济和谐发展。 </w:t>
      </w:r>
    </w:p>
    <w:p>
      <w:pPr>
        <w:numPr>
          <w:ilvl w:val="0"/>
          <w:numId w:val="1"/>
        </w:numPr>
        <w:jc w:val="left"/>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展品范围</w:t>
      </w:r>
    </w:p>
    <w:p>
      <w:pPr>
        <w:keepNext w:val="0"/>
        <w:keepLines w:val="0"/>
        <w:widowControl/>
        <w:numPr>
          <w:ilvl w:val="0"/>
          <w:numId w:val="0"/>
        </w:numPr>
        <w:suppressLineNumbers w:val="0"/>
        <w:ind w:firstLine="280" w:firstLineChars="100"/>
        <w:jc w:val="left"/>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b w:val="0"/>
          <w:bCs w:val="0"/>
          <w:color w:val="000000" w:themeColor="text1"/>
          <w:kern w:val="0"/>
          <w:sz w:val="28"/>
          <w:szCs w:val="28"/>
          <w:lang w:val="en-US" w:eastAsia="zh-CN" w:bidi="ar"/>
          <w14:textFill>
            <w14:solidFill>
              <w14:schemeClr w14:val="tx1"/>
            </w14:solidFill>
          </w14:textFill>
        </w:rPr>
        <w:t>1</w:t>
      </w:r>
      <w:r>
        <w:rPr>
          <w:rFonts w:hint="eastAsia" w:ascii="宋体" w:hAnsi="宋体" w:eastAsia="宋体" w:cs="宋体"/>
          <w:b/>
          <w:bCs/>
          <w:color w:val="000000" w:themeColor="text1"/>
          <w:kern w:val="0"/>
          <w:sz w:val="28"/>
          <w:szCs w:val="28"/>
          <w:lang w:val="en-US" w:eastAsia="zh-CN" w:bidi="ar"/>
          <w14:textFill>
            <w14:solidFill>
              <w14:schemeClr w14:val="tx1"/>
            </w14:solidFill>
          </w14:textFill>
        </w:rPr>
        <w:t xml:space="preserve">、江西省应急成果展示 </w:t>
      </w:r>
    </w:p>
    <w:p>
      <w:pPr>
        <w:keepNext w:val="0"/>
        <w:keepLines w:val="0"/>
        <w:widowControl/>
        <w:suppressLineNumbers w:val="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全面展示江西省应急成果， 推动省内各地市应急安全交流互鉴</w:t>
      </w:r>
    </w:p>
    <w:p>
      <w:pPr>
        <w:keepNext w:val="0"/>
        <w:keepLines w:val="0"/>
        <w:widowControl/>
        <w:numPr>
          <w:ilvl w:val="0"/>
          <w:numId w:val="2"/>
        </w:numPr>
        <w:suppressLineNumbers w:val="0"/>
        <w:ind w:left="315" w:leftChars="0" w:firstLine="0" w:firstLineChars="0"/>
        <w:jc w:val="left"/>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r>
        <w:rPr>
          <w:rFonts w:hint="eastAsia" w:ascii="宋体" w:hAnsi="宋体" w:eastAsia="宋体" w:cs="宋体"/>
          <w:b/>
          <w:bCs/>
          <w:color w:val="000000" w:themeColor="text1"/>
          <w:kern w:val="0"/>
          <w:sz w:val="28"/>
          <w:szCs w:val="28"/>
          <w:lang w:val="en-US" w:eastAsia="zh-CN" w:bidi="ar"/>
          <w14:textFill>
            <w14:solidFill>
              <w14:schemeClr w14:val="tx1"/>
            </w14:solidFill>
          </w14:textFill>
        </w:rPr>
        <w:t>航空救援</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江西是全国唯一同时拥有旋翼机和固定翼飞机研发生产能力的省份，昌飞集团拥有AC311A、AC313A和S300C等多用途应急救援直升机</w:t>
      </w:r>
    </w:p>
    <w:p>
      <w:pPr>
        <w:ind w:firstLine="281" w:firstLineChars="10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3、</w:t>
      </w:r>
      <w:r>
        <w:rPr>
          <w:rFonts w:hint="eastAsia" w:ascii="宋体" w:hAnsi="宋体" w:eastAsia="宋体"/>
          <w:b/>
          <w:bCs/>
          <w:color w:val="000000" w:themeColor="text1"/>
          <w:sz w:val="28"/>
          <w:szCs w:val="32"/>
          <w14:textFill>
            <w14:solidFill>
              <w14:schemeClr w14:val="tx1"/>
            </w14:solidFill>
          </w14:textFill>
        </w:rPr>
        <w:t>应急装备</w:t>
      </w:r>
    </w:p>
    <w:p>
      <w:pPr>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专业拆除设备、建筑抢险设备、高空抢险设备、雪灾抢险设备、矿山救援设备。</w:t>
      </w:r>
    </w:p>
    <w:p>
      <w:pPr>
        <w:ind w:firstLine="281" w:firstLineChars="10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4</w:t>
      </w:r>
      <w:r>
        <w:rPr>
          <w:rFonts w:hint="eastAsia" w:ascii="宋体" w:hAnsi="宋体" w:eastAsia="宋体"/>
          <w:b/>
          <w:bCs/>
          <w:color w:val="000000" w:themeColor="text1"/>
          <w:sz w:val="28"/>
          <w:szCs w:val="32"/>
          <w14:textFill>
            <w14:solidFill>
              <w14:schemeClr w14:val="tx1"/>
            </w14:solidFill>
          </w14:textFill>
        </w:rPr>
        <w:t>、智慧应急</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应急信息化：应急安全新基建科技创新成果、应急安全信息化管理平台、应急通信、指挥、调度技术与设备、人工智能和辅助决策系统、智慧社区技术和解决方案、智慧城市建设成果、智慧城市示范应用、未来生活与互动体验 </w:t>
      </w:r>
    </w:p>
    <w:p>
      <w:pPr>
        <w:ind w:firstLine="281" w:firstLineChars="10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5</w:t>
      </w:r>
      <w:r>
        <w:rPr>
          <w:rFonts w:hint="eastAsia" w:ascii="宋体" w:hAnsi="宋体" w:eastAsia="宋体"/>
          <w:b/>
          <w:bCs/>
          <w:color w:val="000000" w:themeColor="text1"/>
          <w:sz w:val="28"/>
          <w:szCs w:val="32"/>
          <w14:textFill>
            <w14:solidFill>
              <w14:schemeClr w14:val="tx1"/>
            </w14:solidFill>
          </w14:textFill>
        </w:rPr>
        <w:t>、消防安全</w:t>
      </w:r>
    </w:p>
    <w:p>
      <w:pPr>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消防车辆及相关产品、个人防护装备及抢险救援器材、火灾报警及监控产品、灭火设备产品、防火阻燃材料及相关配套产品、社会消防服务机构及组织。</w:t>
      </w:r>
    </w:p>
    <w:p>
      <w:pPr>
        <w:ind w:firstLine="281" w:firstLineChars="10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6</w:t>
      </w:r>
      <w:r>
        <w:rPr>
          <w:rFonts w:hint="eastAsia" w:ascii="宋体" w:hAnsi="宋体" w:eastAsia="宋体"/>
          <w:b/>
          <w:bCs/>
          <w:color w:val="000000" w:themeColor="text1"/>
          <w:sz w:val="28"/>
          <w:szCs w:val="32"/>
          <w14:textFill>
            <w14:solidFill>
              <w14:schemeClr w14:val="tx1"/>
            </w14:solidFill>
          </w14:textFill>
        </w:rPr>
        <w:t>、安全防护</w:t>
      </w:r>
    </w:p>
    <w:p>
      <w:pPr>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应急救护产品、安全生产环境防护产品、个体劳动防护用品、职业服装及材料、安全生产监测仪表、安全生产设备、咨询、培训、认证机构等。</w:t>
      </w:r>
    </w:p>
    <w:p>
      <w:pPr>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 xml:space="preserve">  7</w:t>
      </w:r>
      <w:r>
        <w:rPr>
          <w:rFonts w:hint="eastAsia" w:ascii="宋体" w:hAnsi="宋体" w:eastAsia="宋体"/>
          <w:b/>
          <w:bCs/>
          <w:color w:val="000000" w:themeColor="text1"/>
          <w:sz w:val="28"/>
          <w:szCs w:val="32"/>
          <w14:textFill>
            <w14:solidFill>
              <w14:schemeClr w14:val="tx1"/>
            </w14:solidFill>
          </w14:textFill>
        </w:rPr>
        <w:t>、森林消防</w:t>
      </w:r>
    </w:p>
    <w:p>
      <w:pPr>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风力（水）灭火机、泡沫灭火机、高压细水雾灭火机、消防泵、火场割灌开带机、多功能消防车、运兵车、航空灭火装备、安全防护装备和野炊野营设备等。</w:t>
      </w:r>
    </w:p>
    <w:p>
      <w:pPr>
        <w:ind w:firstLine="281" w:firstLineChars="10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8</w:t>
      </w:r>
      <w:r>
        <w:rPr>
          <w:rFonts w:hint="eastAsia" w:ascii="宋体" w:hAnsi="宋体" w:eastAsia="宋体"/>
          <w:b/>
          <w:bCs/>
          <w:color w:val="000000" w:themeColor="text1"/>
          <w:sz w:val="28"/>
          <w:szCs w:val="32"/>
          <w14:textFill>
            <w14:solidFill>
              <w14:schemeClr w14:val="tx1"/>
            </w14:solidFill>
          </w14:textFill>
        </w:rPr>
        <w:t>、水域救援</w:t>
      </w:r>
    </w:p>
    <w:p>
      <w:pPr>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灾害监测预警系统、防汛抗旱及水上救援、无人机与直升机、工程抢险救援、应急救援专业技能培训服务。</w:t>
      </w:r>
    </w:p>
    <w:p>
      <w:pPr>
        <w:ind w:firstLine="281" w:firstLineChars="10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9</w:t>
      </w:r>
      <w:r>
        <w:rPr>
          <w:rFonts w:hint="eastAsia" w:ascii="宋体" w:hAnsi="宋体" w:eastAsia="宋体"/>
          <w:b/>
          <w:bCs/>
          <w:color w:val="000000" w:themeColor="text1"/>
          <w:sz w:val="28"/>
          <w:szCs w:val="32"/>
          <w14:textFill>
            <w14:solidFill>
              <w14:schemeClr w14:val="tx1"/>
            </w14:solidFill>
          </w14:textFill>
        </w:rPr>
        <w:t>、环境应急</w:t>
      </w:r>
    </w:p>
    <w:p>
      <w:pPr>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环境保护系统的应急抢救个人防护设备、装备、污染控制和消除、核安全预警监测系统、核与生化防护产品、生态环境监测系统、生态环境保护等产品。</w:t>
      </w:r>
    </w:p>
    <w:p>
      <w:pPr>
        <w:ind w:firstLine="281" w:firstLineChars="10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lang w:val="en-US" w:eastAsia="zh-CN"/>
          <w14:textFill>
            <w14:solidFill>
              <w14:schemeClr w14:val="tx1"/>
            </w14:solidFill>
          </w14:textFill>
        </w:rPr>
        <w:t>10</w:t>
      </w:r>
      <w:r>
        <w:rPr>
          <w:rFonts w:hint="eastAsia" w:ascii="宋体" w:hAnsi="宋体" w:eastAsia="宋体"/>
          <w:b/>
          <w:bCs/>
          <w:color w:val="000000" w:themeColor="text1"/>
          <w:sz w:val="28"/>
          <w:szCs w:val="32"/>
          <w14:textFill>
            <w14:solidFill>
              <w14:schemeClr w14:val="tx1"/>
            </w14:solidFill>
          </w14:textFill>
        </w:rPr>
        <w:t>、工业防爆</w:t>
      </w:r>
    </w:p>
    <w:p>
      <w:pPr>
        <w:ind w:firstLine="480" w:firstLineChars="20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通风除尘烟气治理、防爆特种设备、防爆电气、气体检测防爆、阻火系统、安全防护用品等。</w:t>
      </w:r>
    </w:p>
    <w:p>
      <w:pP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drawing>
          <wp:inline distT="0" distB="0" distL="114300" distR="114300">
            <wp:extent cx="5755005" cy="4345305"/>
            <wp:effectExtent l="0" t="0" r="17145" b="17145"/>
            <wp:docPr id="9" name="图片 9" descr="169286176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2861766789"/>
                    <pic:cNvPicPr>
                      <a:picLocks noChangeAspect="1"/>
                    </pic:cNvPicPr>
                  </pic:nvPicPr>
                  <pic:blipFill>
                    <a:blip r:embed="rId10"/>
                    <a:stretch>
                      <a:fillRect/>
                    </a:stretch>
                  </pic:blipFill>
                  <pic:spPr>
                    <a:xfrm>
                      <a:off x="0" y="0"/>
                      <a:ext cx="5755005" cy="4345305"/>
                    </a:xfrm>
                    <a:prstGeom prst="rect">
                      <a:avLst/>
                    </a:prstGeom>
                  </pic:spPr>
                </pic:pic>
              </a:graphicData>
            </a:graphic>
          </wp:inline>
        </w:drawing>
      </w:r>
    </w:p>
    <w:p>
      <w:pPr>
        <w:jc w:val="left"/>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四、</w:t>
      </w:r>
      <w:r>
        <w:rPr>
          <w:rFonts w:hint="eastAsia" w:ascii="宋体" w:hAnsi="宋体" w:eastAsia="宋体" w:cs="宋体"/>
          <w:b/>
          <w:bCs/>
          <w:color w:val="000000" w:themeColor="text1"/>
          <w:sz w:val="28"/>
          <w:szCs w:val="28"/>
          <w14:textFill>
            <w14:solidFill>
              <w14:schemeClr w14:val="tx1"/>
            </w14:solidFill>
          </w14:textFill>
        </w:rPr>
        <w:t>活动丰富：</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本次博览会突出 “智慧融合、应急创新” 主题，活动主要内容包括高峰论坛、展览展示、投资洽谈等，聚焦智慧应急产业市场前瞻与投资战略、人工智能如何赋能应急产业、城市安全风险防控与安全监管、大数据下的智能应急装备、城市智慧应急解决方案等热点议题，通过线上、线下平台实现对 接采购，云集政府领导、专家学者、专业观众，以及来自国内外应急安全领域知名企业、应急安全领域上下游企业、贸易商、采购商、投资商、知名媒体等 50000 余人参会参展，搭建中外应急安全产业贸易合作平台，推动国内外安全领域发展合作。</w:t>
      </w: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强势媒体：</w:t>
      </w:r>
      <w:r>
        <w:rPr>
          <w:rFonts w:hint="eastAsia" w:ascii="宋体" w:hAnsi="宋体" w:eastAsia="宋体" w:cs="宋体"/>
          <w:color w:val="000000" w:themeColor="text1"/>
          <w:kern w:val="0"/>
          <w:sz w:val="24"/>
          <w:szCs w:val="24"/>
          <w:lang w:val="en-US" w:eastAsia="zh-CN" w:bidi="ar"/>
          <w14:textFill>
            <w14:solidFill>
              <w14:schemeClr w14:val="tx1"/>
            </w14:solidFill>
          </w14:textFill>
        </w:rPr>
        <w:t>江西广播电视台、江西广电传媒集团、中国应急安全网、中国应急救援、中国消防网、中国消防交易网、广东安全杂志社、公共安全装备网、应急救援产业网、消防界、消防百事通、消防设备网、消防社区网、消防天下、消防中国网、新浪网、搜狐网、网易、凤凰网、今日头条、百度、腾讯等200余家媒体。</w:t>
      </w: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5762625" cy="7898130"/>
            <wp:effectExtent l="0" t="0" r="9525" b="7620"/>
            <wp:docPr id="10" name="图片 10" descr="169286539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92865397854"/>
                    <pic:cNvPicPr>
                      <a:picLocks noChangeAspect="1"/>
                    </pic:cNvPicPr>
                  </pic:nvPicPr>
                  <pic:blipFill>
                    <a:blip r:embed="rId11"/>
                    <a:stretch>
                      <a:fillRect/>
                    </a:stretch>
                  </pic:blipFill>
                  <pic:spPr>
                    <a:xfrm>
                      <a:off x="0" y="0"/>
                      <a:ext cx="5762625" cy="7898130"/>
                    </a:xfrm>
                    <a:prstGeom prst="rect">
                      <a:avLst/>
                    </a:prstGeom>
                  </pic:spPr>
                </pic:pic>
              </a:graphicData>
            </a:graphic>
          </wp:inline>
        </w:drawing>
      </w:r>
    </w:p>
    <w:p>
      <w:pPr>
        <w:jc w:val="left"/>
        <w:rPr>
          <w:rFonts w:ascii="宋体" w:hAnsi="宋体" w:eastAsia="宋体" w:cs="Times New Roman"/>
          <w:b/>
          <w:bCs/>
          <w:color w:val="000000" w:themeColor="text1"/>
          <w:sz w:val="28"/>
          <w:szCs w:val="28"/>
          <w14:textFill>
            <w14:solidFill>
              <w14:schemeClr w14:val="tx1"/>
            </w14:solidFill>
          </w14:textFill>
        </w:rPr>
      </w:pPr>
      <w:r>
        <w:rPr>
          <w:rFonts w:hint="eastAsia" w:ascii="宋体" w:hAnsi="宋体" w:eastAsia="宋体" w:cs="Times New Roman"/>
          <w:b/>
          <w:bCs/>
          <w:color w:val="000000" w:themeColor="text1"/>
          <w:sz w:val="28"/>
          <w:szCs w:val="28"/>
          <w:lang w:eastAsia="zh-CN"/>
          <w14:textFill>
            <w14:solidFill>
              <w14:schemeClr w14:val="tx1"/>
            </w14:solidFill>
          </w14:textFill>
        </w:rPr>
        <w:t>五、</w:t>
      </w:r>
      <w:r>
        <w:rPr>
          <w:rFonts w:hint="eastAsia" w:ascii="宋体" w:hAnsi="宋体" w:eastAsia="宋体" w:cs="Times New Roman"/>
          <w:b/>
          <w:bCs/>
          <w:color w:val="000000" w:themeColor="text1"/>
          <w:sz w:val="28"/>
          <w:szCs w:val="28"/>
          <w14:textFill>
            <w14:solidFill>
              <w14:schemeClr w14:val="tx1"/>
            </w14:solidFill>
          </w14:textFill>
        </w:rPr>
        <w:t>配套活动</w:t>
      </w:r>
    </w:p>
    <w:p>
      <w:pPr>
        <w:jc w:val="left"/>
        <w:rPr>
          <w:rFonts w:ascii="宋体" w:hAnsi="宋体" w:eastAsia="宋体" w:cs="Times New Roman"/>
          <w:b/>
          <w:bCs/>
          <w:color w:val="000000" w:themeColor="text1"/>
          <w:sz w:val="28"/>
          <w:szCs w:val="28"/>
          <w14:textFill>
            <w14:solidFill>
              <w14:schemeClr w14:val="tx1"/>
            </w14:solidFill>
          </w14:textFill>
        </w:rPr>
      </w:pPr>
      <w:r>
        <w:rPr>
          <w:rFonts w:hint="eastAsia" w:ascii="宋体" w:hAnsi="宋体" w:eastAsia="宋体" w:cs="Times New Roman"/>
          <w:b/>
          <w:bCs/>
          <w:color w:val="000000" w:themeColor="text1"/>
          <w:sz w:val="28"/>
          <w:szCs w:val="28"/>
          <w14:textFill>
            <w14:solidFill>
              <w14:schemeClr w14:val="tx1"/>
            </w14:solidFill>
          </w14:textFill>
        </w:rPr>
        <w:t>聚焦前沿，启迪未来</w:t>
      </w:r>
    </w:p>
    <w:p>
      <w:pPr>
        <w:widowControl/>
        <w:jc w:val="left"/>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智慧消防的创新、发展与应用论坛</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智慧应急为大安全大应急体系提供科技支撑、装备支撑、人才支撑，是抢抓技术革命机遇、贯彻新发展理念、推进应急管理体系和能力现代化的必然选择。以工业互联网为底座，融合物联网、大数据、云计算、AI、模拟仿真、情景推演等技术构建应急数字孪生系统，仿真推演风险演进路径和应急预案效果，不断提高灾害事故风险识别、监测预警、远程响应、协同救援、综合保障能力。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智慧应急高峰论坛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储能安全沙龙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国际智慧应急装备采购对接会 </w:t>
      </w:r>
    </w:p>
    <w:p>
      <w:pPr>
        <w:keepNext w:val="0"/>
        <w:keepLines w:val="0"/>
        <w:widowControl/>
        <w:suppressLineNumbers w:val="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江西社会应急救援力量（技能竞赛）</w:t>
      </w:r>
    </w:p>
    <w:p>
      <w:pPr>
        <w:jc w:val="left"/>
        <w:rPr>
          <w:rFonts w:ascii="宋体" w:hAnsi="宋体" w:eastAsia="宋体" w:cs="Times New Roman"/>
          <w:b/>
          <w:bCs/>
          <w:color w:val="000000" w:themeColor="text1"/>
          <w:sz w:val="28"/>
          <w:szCs w:val="28"/>
          <w14:textFill>
            <w14:solidFill>
              <w14:schemeClr w14:val="tx1"/>
            </w14:solidFill>
          </w14:textFill>
        </w:rPr>
      </w:pPr>
      <w:r>
        <w:rPr>
          <w:rFonts w:hint="eastAsia" w:ascii="宋体" w:hAnsi="宋体" w:eastAsia="宋体" w:cs="Times New Roman"/>
          <w:b/>
          <w:bCs/>
          <w:color w:val="000000" w:themeColor="text1"/>
          <w:sz w:val="28"/>
          <w:szCs w:val="28"/>
          <w:lang w:eastAsia="zh-CN"/>
          <w14:textFill>
            <w14:solidFill>
              <w14:schemeClr w14:val="tx1"/>
            </w14:solidFill>
          </w14:textFill>
        </w:rPr>
        <w:t>六、</w:t>
      </w:r>
      <w:r>
        <w:rPr>
          <w:rFonts w:ascii="宋体" w:hAnsi="宋体" w:eastAsia="宋体" w:cs="Times New Roman"/>
          <w:b/>
          <w:bCs/>
          <w:color w:val="000000" w:themeColor="text1"/>
          <w:sz w:val="28"/>
          <w:szCs w:val="28"/>
          <w14:textFill>
            <w14:solidFill>
              <w14:schemeClr w14:val="tx1"/>
            </w14:solidFill>
          </w14:textFill>
        </w:rPr>
        <w:t>参展费用</w:t>
      </w:r>
    </w:p>
    <w:p>
      <w:pPr>
        <w:ind w:firstLine="482" w:firstLineChars="200"/>
        <w:rPr>
          <w:rFonts w:ascii="宋体" w:hAnsi="宋体" w:eastAsia="宋体"/>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t>标准展位</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lang w:val="en-US" w:eastAsia="zh-CN"/>
          <w14:textFill>
            <w14:solidFill>
              <w14:schemeClr w14:val="tx1"/>
            </w14:solidFill>
          </w14:textFill>
        </w:rPr>
        <w:t>9</w:t>
      </w:r>
      <w:r>
        <w:rPr>
          <w:rFonts w:ascii="宋体" w:hAnsi="宋体" w:eastAsia="宋体"/>
          <w:color w:val="000000" w:themeColor="text1"/>
          <w:sz w:val="24"/>
          <w:szCs w:val="24"/>
          <w14:textFill>
            <w14:solidFill>
              <w14:schemeClr w14:val="tx1"/>
            </w14:solidFill>
          </w14:textFill>
        </w:rPr>
        <w:t>,800RMB/9㎡</w:t>
      </w:r>
    </w:p>
    <w:p>
      <w:pPr>
        <w:ind w:firstLine="482" w:firstLineChars="200"/>
        <w:rPr>
          <w:rFonts w:ascii="宋体" w:hAnsi="宋体" w:eastAsia="宋体"/>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t>特装空地</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lang w:val="en-US" w:eastAsia="zh-CN"/>
          <w14:textFill>
            <w14:solidFill>
              <w14:schemeClr w14:val="tx1"/>
            </w14:solidFill>
          </w14:textFill>
        </w:rPr>
        <w:t>10</w:t>
      </w:r>
      <w:r>
        <w:rPr>
          <w:rFonts w:ascii="宋体" w:hAnsi="宋体" w:eastAsia="宋体"/>
          <w:color w:val="000000" w:themeColor="text1"/>
          <w:sz w:val="24"/>
          <w:szCs w:val="24"/>
          <w14:textFill>
            <w14:solidFill>
              <w14:schemeClr w14:val="tx1"/>
            </w14:solidFill>
          </w14:textFill>
        </w:rPr>
        <w:t>00 RMB /㎡（36㎡起租）</w:t>
      </w:r>
    </w:p>
    <w:p>
      <w:pPr>
        <w:ind w:firstLine="482" w:firstLineChars="200"/>
        <w:rPr>
          <w:rFonts w:ascii="宋体" w:hAnsi="宋体" w:eastAsia="宋体"/>
          <w:b/>
          <w:bCs/>
          <w:color w:val="000000" w:themeColor="text1"/>
          <w:sz w:val="24"/>
          <w:szCs w:val="24"/>
          <w14:textFill>
            <w14:solidFill>
              <w14:schemeClr w14:val="tx1"/>
            </w14:solidFill>
          </w14:textFill>
        </w:rPr>
      </w:pPr>
    </w:p>
    <w:p>
      <w:pPr>
        <w:ind w:firstLine="482" w:firstLineChars="200"/>
        <w:rPr>
          <w:rFonts w:ascii="宋体" w:hAnsi="宋体" w:eastAsia="宋体"/>
          <w:b/>
          <w:bCs/>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t>参展程序</w:t>
      </w:r>
    </w:p>
    <w:p>
      <w:pPr>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联系组委会→预订展位→填写《展位申请表》→ 签署参展合同→支付参展费用→正式参展</w:t>
      </w:r>
    </w:p>
    <w:p>
      <w:pPr>
        <w:keepNext w:val="0"/>
        <w:keepLines w:val="0"/>
        <w:widowControl/>
        <w:suppressLineNumbers w:val="0"/>
        <w:ind w:firstLine="482" w:firstLineChars="200"/>
        <w:jc w:val="left"/>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展会服务：</w:t>
      </w:r>
      <w:r>
        <w:rPr>
          <w:rFonts w:hint="eastAsia" w:ascii="宋体" w:hAnsi="宋体" w:eastAsia="宋体" w:cs="宋体"/>
          <w:b/>
          <w:bCs/>
          <w:color w:val="000000" w:themeColor="text1"/>
          <w:kern w:val="0"/>
          <w:sz w:val="28"/>
          <w:szCs w:val="28"/>
          <w:lang w:val="en-US" w:eastAsia="zh-CN" w:bidi="ar"/>
          <w14:textFill>
            <w14:solidFill>
              <w14:schemeClr w14:val="tx1"/>
            </w14:solidFill>
          </w14:textFill>
        </w:rPr>
        <w:t xml:space="preserve">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参展方案和费用估算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为展商列出的买家发送直邮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个性展示方案建议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商贸配对服务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拜访展商的重要买家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综合宣传机会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制作个性化参观券、宣传品、礼品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展商新闻稿代发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展会网站宣传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展前预览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展后观众数据和分析报告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代为邀请特别买家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参展和展览回顾短片 </w:t>
      </w: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提供展位搭建服务</w:t>
      </w:r>
    </w:p>
    <w:p>
      <w:pP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drawing>
          <wp:inline distT="0" distB="0" distL="114300" distR="114300">
            <wp:extent cx="5755005" cy="2931795"/>
            <wp:effectExtent l="0" t="0" r="17145" b="1905"/>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2"/>
                    <a:stretch>
                      <a:fillRect/>
                    </a:stretch>
                  </pic:blipFill>
                  <pic:spPr>
                    <a:xfrm>
                      <a:off x="0" y="0"/>
                      <a:ext cx="5755005" cy="2931795"/>
                    </a:xfrm>
                    <a:prstGeom prst="rect">
                      <a:avLst/>
                    </a:prstGeom>
                  </pic:spPr>
                </pic:pic>
              </a:graphicData>
            </a:graphic>
          </wp:inline>
        </w:drawing>
      </w:r>
    </w:p>
    <w:p>
      <w:pPr>
        <w:keepNext w:val="0"/>
        <w:keepLines w:val="0"/>
        <w:widowControl/>
        <w:suppressLineNumbers w:val="0"/>
        <w:jc w:val="left"/>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kern w:val="0"/>
          <w:sz w:val="28"/>
          <w:szCs w:val="28"/>
          <w:lang w:val="en-US" w:eastAsia="zh-CN" w:bidi="ar"/>
          <w14:textFill>
            <w14:solidFill>
              <w14:schemeClr w14:val="tx1"/>
            </w14:solidFill>
          </w14:textFill>
        </w:rPr>
        <w:t>南昌国际应急产业博览会暨应急产业发展论坛组委会联系方式：</w:t>
      </w:r>
    </w:p>
    <w:p>
      <w:pPr>
        <w:ind w:firstLine="482" w:firstLineChars="200"/>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电话：</w:t>
      </w:r>
      <w:r>
        <w:rPr>
          <w:rFonts w:hint="eastAsia" w:ascii="宋体" w:hAnsi="宋体" w:eastAsia="宋体" w:cs="宋体"/>
          <w:b/>
          <w:bCs/>
          <w:color w:val="000000" w:themeColor="text1"/>
          <w:sz w:val="24"/>
          <w:szCs w:val="24"/>
          <w:lang w:val="en-US" w:eastAsia="zh-CN"/>
          <w14:textFill>
            <w14:solidFill>
              <w14:schemeClr w14:val="tx1"/>
            </w14:solidFill>
          </w14:textFill>
        </w:rPr>
        <w:t>13392127135、0797-88339299、</w:t>
      </w:r>
      <w:r>
        <w:rPr>
          <w:rFonts w:hint="eastAsia" w:ascii="宋体" w:hAnsi="宋体" w:eastAsia="宋体" w:cs="宋体"/>
          <w:b/>
          <w:bCs/>
          <w:color w:val="000000" w:themeColor="text1"/>
          <w:sz w:val="24"/>
          <w:szCs w:val="24"/>
          <w14:textFill>
            <w14:solidFill>
              <w14:schemeClr w14:val="tx1"/>
            </w14:solidFill>
          </w14:textFill>
        </w:rPr>
        <w:t>020-8564127</w:t>
      </w:r>
      <w:r>
        <w:rPr>
          <w:rFonts w:hint="eastAsia" w:ascii="宋体" w:hAnsi="宋体" w:eastAsia="宋体" w:cs="宋体"/>
          <w:b/>
          <w:bCs/>
          <w:color w:val="000000" w:themeColor="text1"/>
          <w:sz w:val="24"/>
          <w:szCs w:val="24"/>
          <w:lang w:val="en-US" w:eastAsia="zh-CN"/>
          <w14:textFill>
            <w14:solidFill>
              <w14:schemeClr w14:val="tx1"/>
            </w14:solidFill>
          </w14:textFill>
        </w:rPr>
        <w:t>8</w:t>
      </w:r>
    </w:p>
    <w:p>
      <w:pPr>
        <w:keepNext w:val="0"/>
        <w:keepLines w:val="0"/>
        <w:widowControl/>
        <w:suppressLineNumbers w:val="0"/>
        <w:ind w:firstLine="482" w:firstLineChars="200"/>
        <w:jc w:val="left"/>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地址：</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xml:space="preserve">江西省南昌市青山湖区洪都中大道207号C栋1001室 </w:t>
      </w:r>
    </w:p>
    <w:p>
      <w:pPr>
        <w:keepNext w:val="0"/>
        <w:keepLines w:val="0"/>
        <w:widowControl/>
        <w:suppressLineNumbers w:val="0"/>
        <w:ind w:firstLine="1205" w:firstLineChars="50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广州市海珠区新港东路1000号保利世贸C座908B</w:t>
      </w:r>
    </w:p>
    <w:sectPr>
      <w:pgSz w:w="11906" w:h="16838"/>
      <w:pgMar w:top="907" w:right="1247" w:bottom="907"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altName w:val="黑体"/>
    <w:panose1 w:val="03000509000000000000"/>
    <w:charset w:val="86"/>
    <w:family w:val="script"/>
    <w:pitch w:val="default"/>
    <w:sig w:usb0="00000000" w:usb1="00000000" w:usb2="0000001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9E1ED2"/>
    <w:multiLevelType w:val="singleLevel"/>
    <w:tmpl w:val="B99E1ED2"/>
    <w:lvl w:ilvl="0" w:tentative="0">
      <w:start w:val="3"/>
      <w:numFmt w:val="chineseCounting"/>
      <w:suff w:val="nothing"/>
      <w:lvlText w:val="%1、"/>
      <w:lvlJc w:val="left"/>
      <w:rPr>
        <w:rFonts w:hint="eastAsia"/>
      </w:rPr>
    </w:lvl>
  </w:abstractNum>
  <w:abstractNum w:abstractNumId="1">
    <w:nsid w:val="C7185200"/>
    <w:multiLevelType w:val="singleLevel"/>
    <w:tmpl w:val="C7185200"/>
    <w:lvl w:ilvl="0" w:tentative="0">
      <w:start w:val="2"/>
      <w:numFmt w:val="decimal"/>
      <w:suff w:val="nothing"/>
      <w:lvlText w:val="%1、"/>
      <w:lvlJc w:val="left"/>
      <w:pPr>
        <w:ind w:left="315" w:leftChars="0" w:firstLine="0" w:firstLineChars="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1OTU3ZDAyOWM0YTA4NjViYTk2OWYyYzdlM2I5ZGMifQ=="/>
  </w:docVars>
  <w:rsids>
    <w:rsidRoot w:val="001F4C06"/>
    <w:rsid w:val="00007B52"/>
    <w:rsid w:val="00023DFA"/>
    <w:rsid w:val="000F03E0"/>
    <w:rsid w:val="0015795F"/>
    <w:rsid w:val="001F4C06"/>
    <w:rsid w:val="002C7CBE"/>
    <w:rsid w:val="0039325F"/>
    <w:rsid w:val="003D6D6E"/>
    <w:rsid w:val="003E1572"/>
    <w:rsid w:val="00462016"/>
    <w:rsid w:val="00513A20"/>
    <w:rsid w:val="00614ADA"/>
    <w:rsid w:val="0064024D"/>
    <w:rsid w:val="0066734A"/>
    <w:rsid w:val="00690153"/>
    <w:rsid w:val="00696946"/>
    <w:rsid w:val="006D7AB8"/>
    <w:rsid w:val="00752769"/>
    <w:rsid w:val="007E317C"/>
    <w:rsid w:val="0086724D"/>
    <w:rsid w:val="008D0DAC"/>
    <w:rsid w:val="00920289"/>
    <w:rsid w:val="00920363"/>
    <w:rsid w:val="009404EA"/>
    <w:rsid w:val="00A41C8C"/>
    <w:rsid w:val="00A7405B"/>
    <w:rsid w:val="00A82383"/>
    <w:rsid w:val="00AC0B83"/>
    <w:rsid w:val="00AF5593"/>
    <w:rsid w:val="00B6301C"/>
    <w:rsid w:val="00BB780E"/>
    <w:rsid w:val="00C6488F"/>
    <w:rsid w:val="00D113BC"/>
    <w:rsid w:val="00E616A4"/>
    <w:rsid w:val="00F27466"/>
    <w:rsid w:val="00F3443C"/>
    <w:rsid w:val="00F43505"/>
    <w:rsid w:val="00F54C4A"/>
    <w:rsid w:val="00F92225"/>
    <w:rsid w:val="00FA53C4"/>
    <w:rsid w:val="00FD0657"/>
    <w:rsid w:val="02037EE8"/>
    <w:rsid w:val="0B640A32"/>
    <w:rsid w:val="0E862A3E"/>
    <w:rsid w:val="12BF4630"/>
    <w:rsid w:val="12E52961"/>
    <w:rsid w:val="14446AE4"/>
    <w:rsid w:val="14952165"/>
    <w:rsid w:val="17825B79"/>
    <w:rsid w:val="1F2310CF"/>
    <w:rsid w:val="1FA6791C"/>
    <w:rsid w:val="271E5FEA"/>
    <w:rsid w:val="2A3276A3"/>
    <w:rsid w:val="2AB75460"/>
    <w:rsid w:val="2FF01D18"/>
    <w:rsid w:val="39214FA6"/>
    <w:rsid w:val="41887688"/>
    <w:rsid w:val="43D62ACC"/>
    <w:rsid w:val="4C567E51"/>
    <w:rsid w:val="502610BC"/>
    <w:rsid w:val="513E2C61"/>
    <w:rsid w:val="576158FB"/>
    <w:rsid w:val="59FE7432"/>
    <w:rsid w:val="66505CE4"/>
    <w:rsid w:val="686A5495"/>
    <w:rsid w:val="743B50B2"/>
    <w:rsid w:val="74B57B2E"/>
    <w:rsid w:val="75801D24"/>
    <w:rsid w:val="75A246B7"/>
    <w:rsid w:val="7FE83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link w:val="12"/>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sz w:val="18"/>
      <w:szCs w:val="18"/>
    </w:rPr>
  </w:style>
  <w:style w:type="character" w:customStyle="1" w:styleId="9">
    <w:name w:val="页脚 字符"/>
    <w:basedOn w:val="7"/>
    <w:link w:val="4"/>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标题 2 Char"/>
    <w:link w:val="2"/>
    <w:qFormat/>
    <w:uiPriority w:val="0"/>
    <w:rPr>
      <w:rFonts w:ascii="Arial" w:hAnsi="Arial" w:eastAsia="黑体"/>
      <w:b/>
      <w:sz w:val="32"/>
    </w:rPr>
  </w:style>
  <w:style w:type="character" w:customStyle="1" w:styleId="12">
    <w:name w:val="标题 3 Char"/>
    <w:link w:val="3"/>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A19C3-54D6-40A0-9430-6FD685253930}">
  <ds:schemaRefs/>
</ds:datastoreItem>
</file>

<file path=docProps/app.xml><?xml version="1.0" encoding="utf-8"?>
<Properties xmlns="http://schemas.openxmlformats.org/officeDocument/2006/extended-properties" xmlns:vt="http://schemas.openxmlformats.org/officeDocument/2006/docPropsVTypes">
  <Template>Normal</Template>
  <Pages>8</Pages>
  <Words>2255</Words>
  <Characters>2380</Characters>
  <Lines>22</Lines>
  <Paragraphs>6</Paragraphs>
  <TotalTime>43</TotalTime>
  <ScaleCrop>false</ScaleCrop>
  <LinksUpToDate>false</LinksUpToDate>
  <CharactersWithSpaces>2450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2023-04-10T06:31:00Z</dcterms:created>
  <dc:creator>柯 浩淼</dc:creator>
  <cp:lastModifiedBy>蔚蓝星空^O^消防云</cp:lastModifiedBy>
  <dcterms:modified xsi:type="dcterms:W3CDTF">2023-08-25T07:35:40Z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74615F48CB16434D996A8A22E1686147_13</vt:lpwstr>
  </property>
</Properties>
</file>